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A4" w:rsidRPr="00644620" w:rsidRDefault="00B670A4" w:rsidP="00742698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 xml:space="preserve">İş yerinin şartlarına, çalışma düzenine, eğitici personelin kural ve </w:t>
      </w:r>
      <w:r>
        <w:rPr>
          <w:rFonts w:ascii="Times New Roman" w:hAnsi="Times New Roman"/>
          <w:sz w:val="24"/>
        </w:rPr>
        <w:t xml:space="preserve">direktiflerine </w:t>
      </w:r>
      <w:r w:rsidRPr="00644620">
        <w:rPr>
          <w:rFonts w:ascii="Times New Roman" w:hAnsi="Times New Roman"/>
          <w:sz w:val="24"/>
        </w:rPr>
        <w:t>uyulacaktır.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Kurum tarafından kendisinden istenen staj başvurusu ile ilgili bilgi ve evrakları zamanında, eksiksiz ve doğru olarak kuruma telsim edilecektir.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 xml:space="preserve">İş yerine ait özel bilgiler 3. </w:t>
      </w:r>
      <w:r>
        <w:rPr>
          <w:rFonts w:ascii="Times New Roman" w:hAnsi="Times New Roman"/>
          <w:sz w:val="24"/>
        </w:rPr>
        <w:t>ş</w:t>
      </w:r>
      <w:r w:rsidRPr="00644620">
        <w:rPr>
          <w:rFonts w:ascii="Times New Roman" w:hAnsi="Times New Roman"/>
          <w:sz w:val="24"/>
        </w:rPr>
        <w:t>ahıslara iletilmeyecektir.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Sendikal ve siyasi faaliyetlerde bulunulmayacaktır.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İş yeri stajına düzenli olarak devam edilecektir.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Sağlık tesisince belirlenen giriş ve çıkış saatlerine riayet edilecektir.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</w:t>
      </w:r>
      <w:r w:rsidRPr="00644620">
        <w:rPr>
          <w:rFonts w:ascii="Times New Roman" w:hAnsi="Times New Roman"/>
          <w:sz w:val="24"/>
        </w:rPr>
        <w:t>ş kazası olması durumunda en geç bir saat içinde birim sorumlusuna haber verilecektir.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Pandemi süresi kapsamında mevzuat ve idarece belirlenmiş kurallara uyulacaktır.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Günümüz koşullarında COVİD-19 ile ilgili olarak yaşanması muhtemel sorunlarda dahil olmak üzere bu süreçte doğabilecek her türlü sorumlulu</w:t>
      </w:r>
      <w:r>
        <w:rPr>
          <w:rFonts w:ascii="Times New Roman" w:hAnsi="Times New Roman"/>
          <w:sz w:val="24"/>
        </w:rPr>
        <w:t>k</w:t>
      </w:r>
      <w:r w:rsidRPr="00644620">
        <w:rPr>
          <w:rFonts w:ascii="Times New Roman" w:hAnsi="Times New Roman"/>
          <w:sz w:val="24"/>
        </w:rPr>
        <w:t xml:space="preserve"> şahsıma ait olacak; </w:t>
      </w:r>
      <w:r>
        <w:rPr>
          <w:rFonts w:ascii="Times New Roman" w:hAnsi="Times New Roman"/>
          <w:sz w:val="24"/>
        </w:rPr>
        <w:t>Kurumunuz</w:t>
      </w:r>
      <w:r w:rsidRPr="00644620">
        <w:rPr>
          <w:rFonts w:ascii="Times New Roman" w:hAnsi="Times New Roman"/>
          <w:sz w:val="24"/>
        </w:rPr>
        <w:t xml:space="preserve"> hiçbir şekilde sorumlu olmay</w:t>
      </w:r>
      <w:r>
        <w:rPr>
          <w:rFonts w:ascii="Times New Roman" w:hAnsi="Times New Roman"/>
          <w:sz w:val="24"/>
        </w:rPr>
        <w:t>a</w:t>
      </w:r>
      <w:r w:rsidRPr="00644620">
        <w:rPr>
          <w:rFonts w:ascii="Times New Roman" w:hAnsi="Times New Roman"/>
          <w:sz w:val="24"/>
        </w:rPr>
        <w:t>caktır.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COVİD-19 kişisel koruyucu ekipmanları düzenli, gerektiği yerde ve zayi edilmeden kullanılması dikkat edilecektir.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Stajyer öğrenci daha önce almış olduğu iş sağlığı ve güvenliği eğitimlerinde öğrendiği bilgileri staj yaptığı dönem boyunca çalışma alanında uygulamalıdır.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Pr="00644620">
        <w:rPr>
          <w:rFonts w:ascii="Times New Roman" w:hAnsi="Times New Roman"/>
          <w:sz w:val="24"/>
        </w:rPr>
        <w:t>endi</w:t>
      </w:r>
      <w:r>
        <w:rPr>
          <w:rFonts w:ascii="Times New Roman" w:hAnsi="Times New Roman"/>
          <w:sz w:val="24"/>
        </w:rPr>
        <w:t>nizin</w:t>
      </w:r>
      <w:r w:rsidRPr="00644620">
        <w:rPr>
          <w:rFonts w:ascii="Times New Roman" w:hAnsi="Times New Roman"/>
          <w:sz w:val="24"/>
        </w:rPr>
        <w:t xml:space="preserve"> ve başkalarının güvenliğini tehlikeye atacak davranışlardan kaçınılmalıdır.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Çalışma ortamında uyarı levhalarına uyulmalı, iş sağlığı güvenliği konusuna riayet edilmelidir.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Kılık kıyafet yönetmeliğinde belirtilen kurallara ve çalışma düzenine uyulmalıdır.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Pr="00644620">
        <w:rPr>
          <w:rFonts w:ascii="Times New Roman" w:hAnsi="Times New Roman"/>
          <w:sz w:val="24"/>
        </w:rPr>
        <w:t>urumun</w:t>
      </w:r>
      <w:r>
        <w:rPr>
          <w:rFonts w:ascii="Times New Roman" w:hAnsi="Times New Roman"/>
          <w:sz w:val="24"/>
        </w:rPr>
        <w:t>uzun</w:t>
      </w:r>
      <w:r w:rsidRPr="00644620">
        <w:rPr>
          <w:rFonts w:ascii="Times New Roman" w:hAnsi="Times New Roman"/>
          <w:sz w:val="24"/>
        </w:rPr>
        <w:t xml:space="preserve"> belirlediği mesai saatlerine uyulmalıdır, mesai saatleri dışında aktif görevde bulunmak yasaktır.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Stajyer öğrenci olduğu belirtilen kimlik kartı staj süresince takılı olmalıdır.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 xml:space="preserve">Stajyer öğrenci çalışma ortamında sorumlu olan personel ve </w:t>
      </w:r>
      <w:r w:rsidRPr="004E7A33">
        <w:rPr>
          <w:rStyle w:val="Gvdemetni2Kaln"/>
          <w:rFonts w:ascii="Times New Roman" w:hAnsi="Times New Roman"/>
          <w:sz w:val="24"/>
        </w:rPr>
        <w:t>Staj Sorumlusunun</w:t>
      </w:r>
      <w:r w:rsidRPr="00644620">
        <w:rPr>
          <w:rStyle w:val="Gvdemetni2Kaln"/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 xml:space="preserve">bilgisi dışında hareket etmemeli </w:t>
      </w:r>
      <w:r w:rsidR="00413EC6">
        <w:rPr>
          <w:rFonts w:ascii="Times New Roman" w:hAnsi="Times New Roman"/>
          <w:sz w:val="24"/>
        </w:rPr>
        <w:t>ve izinsiz staj bölgesinden ayrıl</w:t>
      </w:r>
      <w:r w:rsidRPr="00644620">
        <w:rPr>
          <w:rFonts w:ascii="Times New Roman" w:hAnsi="Times New Roman"/>
          <w:sz w:val="24"/>
        </w:rPr>
        <w:t>mamalıdır.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Stajyer öğrenci, çalıştığı görevde gerekli olan tüm güvenlik tedbirlerinin görevin devamı süresince titizlikle uygulanmasından öncelikle kendisi sorumlu olacaktır.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56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</w:t>
      </w:r>
      <w:r w:rsidRPr="00644620"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yeri sınırları içerisinde şakalaşmak</w:t>
      </w:r>
      <w:r>
        <w:rPr>
          <w:rFonts w:ascii="Times New Roman" w:hAnsi="Times New Roman"/>
          <w:sz w:val="24"/>
        </w:rPr>
        <w:t xml:space="preserve">, </w:t>
      </w:r>
      <w:r w:rsidRPr="00644620">
        <w:rPr>
          <w:rFonts w:ascii="Times New Roman" w:hAnsi="Times New Roman"/>
          <w:sz w:val="24"/>
        </w:rPr>
        <w:t>koşmak vb. uygunsuz davranışlar</w:t>
      </w:r>
      <w:r>
        <w:rPr>
          <w:rFonts w:ascii="Times New Roman" w:hAnsi="Times New Roman"/>
          <w:sz w:val="24"/>
        </w:rPr>
        <w:t>da bulun</w:t>
      </w:r>
      <w:r w:rsidR="00413EC6">
        <w:rPr>
          <w:rFonts w:ascii="Times New Roman" w:hAnsi="Times New Roman"/>
          <w:sz w:val="24"/>
        </w:rPr>
        <w:t>ul</w:t>
      </w:r>
      <w:r>
        <w:rPr>
          <w:rFonts w:ascii="Times New Roman" w:hAnsi="Times New Roman"/>
          <w:sz w:val="24"/>
        </w:rPr>
        <w:t>mayacaktır.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3"/>
        </w:tabs>
        <w:spacing w:after="0" w:line="306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Girilmesi yasaklanan alanlara zorunlu ve acil durumlar dışında girmek yasaktır. Uygulama yapılan alanlar haricinde yetki verilmeyen hiçbir alana girilmemelidir.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3"/>
        </w:tabs>
        <w:spacing w:after="0" w:line="288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</w:t>
      </w:r>
      <w:r>
        <w:rPr>
          <w:rFonts w:ascii="Times New Roman" w:hAnsi="Times New Roman"/>
          <w:sz w:val="24"/>
        </w:rPr>
        <w:t>y</w:t>
      </w:r>
      <w:r w:rsidRPr="00644620">
        <w:rPr>
          <w:rFonts w:ascii="Times New Roman" w:hAnsi="Times New Roman"/>
          <w:sz w:val="24"/>
        </w:rPr>
        <w:t>erler staj yaptıkları birimler için tanımlanmış olan kişisel koruyucu ekipmanları uygun şekilde kullanmakta yükümlüdürler.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3"/>
        </w:tabs>
        <w:spacing w:after="0" w:line="302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Her ne suretle olursa olsun işyeri sınırları içerisinde iş kazasına ve yangına sebebiyet verecek hareketlerde bulunmamalıdır</w:t>
      </w:r>
      <w:r>
        <w:rPr>
          <w:rFonts w:ascii="Times New Roman" w:hAnsi="Times New Roman"/>
          <w:sz w:val="24"/>
        </w:rPr>
        <w:t>. Y</w:t>
      </w:r>
      <w:r w:rsidRPr="00644620">
        <w:rPr>
          <w:rFonts w:ascii="Times New Roman" w:hAnsi="Times New Roman"/>
          <w:sz w:val="24"/>
        </w:rPr>
        <w:t>angın halinde iş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yeri yangın talimatlarına ve tahliye ekibinin talimatlarına uyulmalıdır.</w:t>
      </w:r>
    </w:p>
    <w:p w:rsidR="00B670A4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3"/>
        </w:tabs>
        <w:spacing w:after="0" w:line="302" w:lineRule="exact"/>
        <w:ind w:left="42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İş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yeri sınırları içeris</w:t>
      </w:r>
      <w:r>
        <w:rPr>
          <w:rFonts w:ascii="Times New Roman" w:hAnsi="Times New Roman"/>
          <w:sz w:val="24"/>
        </w:rPr>
        <w:t>i</w:t>
      </w:r>
      <w:r w:rsidRPr="00644620">
        <w:rPr>
          <w:rFonts w:ascii="Times New Roman" w:hAnsi="Times New Roman"/>
          <w:sz w:val="24"/>
        </w:rPr>
        <w:t>nde bulunan uyarılar ve ikaz levhaları kesinlikle okunmalıdır. Bu yazılar ve levhalara kesinlikle müdahale edilmemeli,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yerleri değiştirilmemelidir.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 esnasında giyilen kıyafetler, kullanılan aksesuarlar cihazların çalışan kısımlarına girecek, cihazlara/ekipmanlara veya çalışma alanında bulunan herhangi bir eşyaya takılacak şekilde olmamalıdır.</w:t>
      </w:r>
      <w:r>
        <w:rPr>
          <w:rFonts w:ascii="Times New Roman" w:hAnsi="Times New Roman"/>
          <w:sz w:val="24"/>
        </w:rPr>
        <w:t xml:space="preserve"> A</w:t>
      </w:r>
      <w:r w:rsidRPr="00644620">
        <w:rPr>
          <w:rFonts w:ascii="Times New Roman" w:hAnsi="Times New Roman"/>
          <w:sz w:val="24"/>
        </w:rPr>
        <w:t>nahtar,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şapka,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kolye,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bileklik vb aksesuarlar ile uzun saçlar,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bol elbiseler iş yerinde risk arz etmektedir.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Bu nedenle aksesuarlar kullanılmamalı, saçlar ve kıyafetler kazaya yol açmayacak şekilde derli toplu olmalıdır.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Depo gibi malzemelerin konulduğu yerlere tek başına gidilmemeli,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malzeme çıkış emri olmadan hiçbir malzeme ve araç gereç alınmamalıdır.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 xml:space="preserve">Kimyasal ve biyolojik atıklar kesinlikle ortalığa dökülüp saçılmamalıdır. Zehir, buhar ve gazlar </w:t>
      </w:r>
      <w:r w:rsidRPr="00644620">
        <w:rPr>
          <w:rFonts w:ascii="Times New Roman" w:hAnsi="Times New Roman"/>
          <w:sz w:val="24"/>
        </w:rPr>
        <w:lastRenderedPageBreak/>
        <w:t>kontrolsüz (koruyucu ekipman bulunmadan) solunmamalıdır.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Böyle durumlarda yetkililere derhal haber verilmelidir.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Alev alıcı sıvı ve gazlara ateş ve ısı kaynağı (çakmak, ateş,</w:t>
      </w:r>
      <w:r w:rsidR="00413EC6"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statik elektrik vb) ile kesinlikle yaklaşılmamalıdır.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Yetki verilmeyen alanlarda herhangi bir malzemeye, kimyasallara ve cihaza dokunmak yasaktır.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Çalışma alanlarında bir şeyler ye</w:t>
      </w:r>
      <w:r>
        <w:rPr>
          <w:rFonts w:ascii="Times New Roman" w:hAnsi="Times New Roman"/>
          <w:sz w:val="24"/>
        </w:rPr>
        <w:t>mek-</w:t>
      </w:r>
      <w:r w:rsidRPr="00644620">
        <w:rPr>
          <w:rFonts w:ascii="Times New Roman" w:hAnsi="Times New Roman"/>
          <w:sz w:val="24"/>
        </w:rPr>
        <w:t>içmek yasaktır.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Ancak hijyen şartları sağlanıyorsa personelin yemek yediği yerler, kantin, dinlenme odaları vb</w:t>
      </w:r>
      <w:r w:rsidR="00413EC6">
        <w:rPr>
          <w:rFonts w:ascii="Times New Roman" w:hAnsi="Times New Roman"/>
          <w:sz w:val="24"/>
        </w:rPr>
        <w:t>.</w:t>
      </w:r>
      <w:r w:rsidRPr="00644620">
        <w:rPr>
          <w:rFonts w:ascii="Times New Roman" w:hAnsi="Times New Roman"/>
          <w:sz w:val="24"/>
        </w:rPr>
        <w:t xml:space="preserve"> alanlarda yen</w:t>
      </w:r>
      <w:r>
        <w:rPr>
          <w:rFonts w:ascii="Times New Roman" w:hAnsi="Times New Roman"/>
          <w:sz w:val="24"/>
        </w:rPr>
        <w:t>ilip içil</w:t>
      </w:r>
      <w:r w:rsidRPr="00644620">
        <w:rPr>
          <w:rFonts w:ascii="Times New Roman" w:hAnsi="Times New Roman"/>
          <w:sz w:val="24"/>
        </w:rPr>
        <w:t>ebilir.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</w:t>
      </w:r>
      <w:r>
        <w:rPr>
          <w:rFonts w:ascii="Times New Roman" w:hAnsi="Times New Roman"/>
          <w:sz w:val="24"/>
        </w:rPr>
        <w:t>y</w:t>
      </w:r>
      <w:r w:rsidRPr="00644620">
        <w:rPr>
          <w:rFonts w:ascii="Times New Roman" w:hAnsi="Times New Roman"/>
          <w:sz w:val="24"/>
        </w:rPr>
        <w:t>erler yangın söndürme cihazlarının ve acil çıkış yerlerini öğrenmek zorundad</w:t>
      </w:r>
      <w:r>
        <w:rPr>
          <w:rFonts w:ascii="Times New Roman" w:hAnsi="Times New Roman"/>
          <w:sz w:val="24"/>
        </w:rPr>
        <w:t>ı</w:t>
      </w:r>
      <w:r w:rsidRPr="00644620">
        <w:rPr>
          <w:rFonts w:ascii="Times New Roman" w:hAnsi="Times New Roman"/>
          <w:sz w:val="24"/>
        </w:rPr>
        <w:t>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Yük ve personel asansörlerine gereği dışında binilmemeli,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asansörlere a</w:t>
      </w:r>
      <w:r>
        <w:rPr>
          <w:rFonts w:ascii="Times New Roman" w:hAnsi="Times New Roman"/>
          <w:sz w:val="24"/>
        </w:rPr>
        <w:t>s</w:t>
      </w:r>
      <w:r w:rsidRPr="00644620">
        <w:rPr>
          <w:rFonts w:ascii="Times New Roman" w:hAnsi="Times New Roman"/>
          <w:sz w:val="24"/>
        </w:rPr>
        <w:t>ılmamalı ve yangın merdivenleri gereği dışında kullanılmamalıdır.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 xml:space="preserve">Yasaklanan yerlerde kesinlikle sigara içmemelidir. </w:t>
      </w:r>
    </w:p>
    <w:p w:rsidR="00B670A4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İş yerinde staj yapan öğrenci kendi güvenliğini ve başkalarının güvenliğini tehlikeye sokmaktan kaçınmalıdır.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Çalışma alanı ve sağlık hizmeti ile ilgili gizlilik gerektiren konular ile kişilere ait özel bilgileri başkaları ile paylaşmak yasaktır.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Elektrik,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ağ kablolama,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kabin ve si</w:t>
      </w:r>
      <w:r>
        <w:rPr>
          <w:rFonts w:ascii="Times New Roman" w:hAnsi="Times New Roman"/>
          <w:sz w:val="24"/>
        </w:rPr>
        <w:t>g</w:t>
      </w:r>
      <w:r w:rsidRPr="00644620">
        <w:rPr>
          <w:rFonts w:ascii="Times New Roman" w:hAnsi="Times New Roman"/>
          <w:sz w:val="24"/>
        </w:rPr>
        <w:t>ortalara dokunulmamalıdır.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</w:t>
      </w:r>
      <w:r>
        <w:rPr>
          <w:rFonts w:ascii="Times New Roman" w:hAnsi="Times New Roman"/>
          <w:sz w:val="24"/>
        </w:rPr>
        <w:t>y</w:t>
      </w:r>
      <w:r w:rsidRPr="00644620">
        <w:rPr>
          <w:rFonts w:ascii="Times New Roman" w:hAnsi="Times New Roman"/>
          <w:sz w:val="24"/>
        </w:rPr>
        <w:t>erler birim sorumluları tarafından kendilerine verilen talimat ve oryantasyona uygun davranışta bulunmakla yükümlüdür.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Oksijen tüplerine yağlı, benzinli mazotlu vb elle dokunmayınız ve kullanmayınız. Oksijen tüplerine ateş</w:t>
      </w:r>
      <w:r w:rsidR="00135557">
        <w:rPr>
          <w:rFonts w:ascii="Times New Roman" w:hAnsi="Times New Roman"/>
          <w:sz w:val="24"/>
        </w:rPr>
        <w:t>,</w:t>
      </w:r>
      <w:r w:rsidRPr="00644620">
        <w:rPr>
          <w:rFonts w:ascii="Times New Roman" w:hAnsi="Times New Roman"/>
          <w:sz w:val="24"/>
        </w:rPr>
        <w:t xml:space="preserve"> çakmak</w:t>
      </w:r>
      <w:r w:rsidR="00135557">
        <w:rPr>
          <w:rFonts w:ascii="Times New Roman" w:hAnsi="Times New Roman"/>
          <w:sz w:val="24"/>
        </w:rPr>
        <w:t>,</w:t>
      </w:r>
      <w:r w:rsidRPr="00644620">
        <w:rPr>
          <w:rFonts w:ascii="Times New Roman" w:hAnsi="Times New Roman"/>
          <w:sz w:val="24"/>
        </w:rPr>
        <w:t xml:space="preserve"> statik elektrik vb şekilde yaklaşılmamalıdır.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Çalışma ortamı tertip düzenine özen gösterilmelidir.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2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Hiçbir alet/malzeme amacı dışında kullanmamalıdır.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El hijyenine azami özen gösterilmeli ve bu konuda verilen talimatlara eksiksiz uyulmalıdır.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</w:t>
      </w:r>
      <w:r w:rsidRPr="00644620"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 xml:space="preserve">yeri </w:t>
      </w:r>
      <w:r>
        <w:rPr>
          <w:rFonts w:ascii="Times New Roman" w:hAnsi="Times New Roman"/>
          <w:sz w:val="24"/>
        </w:rPr>
        <w:t>A</w:t>
      </w:r>
      <w:r w:rsidRPr="00644620">
        <w:rPr>
          <w:rFonts w:ascii="Times New Roman" w:hAnsi="Times New Roman"/>
          <w:sz w:val="24"/>
        </w:rPr>
        <w:t xml:space="preserve">tık </w:t>
      </w:r>
      <w:r>
        <w:rPr>
          <w:rFonts w:ascii="Times New Roman" w:hAnsi="Times New Roman"/>
          <w:sz w:val="24"/>
        </w:rPr>
        <w:t>Y</w:t>
      </w:r>
      <w:r w:rsidRPr="00644620">
        <w:rPr>
          <w:rFonts w:ascii="Times New Roman" w:hAnsi="Times New Roman"/>
          <w:sz w:val="24"/>
        </w:rPr>
        <w:t xml:space="preserve">önetim </w:t>
      </w:r>
      <w:r>
        <w:rPr>
          <w:rFonts w:ascii="Times New Roman" w:hAnsi="Times New Roman"/>
          <w:sz w:val="24"/>
        </w:rPr>
        <w:t>P</w:t>
      </w:r>
      <w:r w:rsidRPr="00644620">
        <w:rPr>
          <w:rFonts w:ascii="Times New Roman" w:hAnsi="Times New Roman"/>
          <w:sz w:val="24"/>
        </w:rPr>
        <w:t>lanına uyulmalıdır. Atık ayrımı hatasız yapılmalıdır.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Eller tiner</w:t>
      </w:r>
      <w:r w:rsidR="00135557">
        <w:rPr>
          <w:rFonts w:ascii="Times New Roman" w:hAnsi="Times New Roman"/>
          <w:sz w:val="24"/>
        </w:rPr>
        <w:t xml:space="preserve">, </w:t>
      </w:r>
      <w:r w:rsidRPr="00644620">
        <w:rPr>
          <w:rFonts w:ascii="Times New Roman" w:hAnsi="Times New Roman"/>
          <w:sz w:val="24"/>
        </w:rPr>
        <w:t>alkol gibi çözücü maddelerle kesinlikle temizlenmeme</w:t>
      </w:r>
      <w:r>
        <w:rPr>
          <w:rFonts w:ascii="Times New Roman" w:hAnsi="Times New Roman"/>
          <w:sz w:val="24"/>
        </w:rPr>
        <w:t>li</w:t>
      </w:r>
      <w:r w:rsidRPr="00644620">
        <w:rPr>
          <w:rFonts w:ascii="Times New Roman" w:hAnsi="Times New Roman"/>
          <w:sz w:val="24"/>
        </w:rPr>
        <w:t>, uygun temizleyici malzemeler kullanılmalıdır.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Resmi evraklar üzerinde oynama, karalama ve tahrifat yapmak yasaktır.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Görev tanımı dışında hiçbir işlem/iş yapılmamalı</w:t>
      </w:r>
      <w:r>
        <w:rPr>
          <w:rFonts w:ascii="Times New Roman" w:hAnsi="Times New Roman"/>
          <w:sz w:val="24"/>
        </w:rPr>
        <w:t>,</w:t>
      </w:r>
      <w:r w:rsidRPr="00644620">
        <w:rPr>
          <w:rFonts w:ascii="Times New Roman" w:hAnsi="Times New Roman"/>
          <w:sz w:val="24"/>
        </w:rPr>
        <w:t xml:space="preserve"> görülen eksiklik, hata, sorun </w:t>
      </w:r>
      <w:r w:rsidRPr="00644620">
        <w:rPr>
          <w:rStyle w:val="Gvdemetni20"/>
          <w:rFonts w:ascii="Times New Roman" w:hAnsi="Times New Roman"/>
          <w:sz w:val="24"/>
        </w:rPr>
        <w:t>staj Sorumlusuna</w:t>
      </w:r>
      <w:r w:rsidRPr="00644620">
        <w:rPr>
          <w:rFonts w:ascii="Times New Roman" w:hAnsi="Times New Roman"/>
          <w:sz w:val="24"/>
        </w:rPr>
        <w:t xml:space="preserve"> bildirilmelidir.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</w:t>
      </w:r>
      <w:r>
        <w:rPr>
          <w:rFonts w:ascii="Times New Roman" w:hAnsi="Times New Roman"/>
          <w:sz w:val="24"/>
        </w:rPr>
        <w:t>y</w:t>
      </w:r>
      <w:r w:rsidRPr="00644620">
        <w:rPr>
          <w:rFonts w:ascii="Times New Roman" w:hAnsi="Times New Roman"/>
          <w:sz w:val="24"/>
        </w:rPr>
        <w:t>erler kendilerine verilen belge,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>araç</w:t>
      </w:r>
      <w:r>
        <w:rPr>
          <w:rFonts w:ascii="Times New Roman" w:hAnsi="Times New Roman"/>
          <w:sz w:val="24"/>
        </w:rPr>
        <w:t>-</w:t>
      </w:r>
      <w:r w:rsidRPr="00644620">
        <w:rPr>
          <w:rFonts w:ascii="Times New Roman" w:hAnsi="Times New Roman"/>
          <w:sz w:val="24"/>
        </w:rPr>
        <w:t>gereç ve malzemeleri yetki verilen mahaller dışına çıkarmamalıdır.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</w:t>
      </w:r>
      <w:r>
        <w:rPr>
          <w:rFonts w:ascii="Times New Roman" w:hAnsi="Times New Roman"/>
          <w:sz w:val="24"/>
        </w:rPr>
        <w:t>y</w:t>
      </w:r>
      <w:r w:rsidRPr="00644620">
        <w:rPr>
          <w:rFonts w:ascii="Times New Roman" w:hAnsi="Times New Roman"/>
          <w:sz w:val="24"/>
        </w:rPr>
        <w:t>erler iş kazası</w:t>
      </w:r>
      <w:r>
        <w:rPr>
          <w:rFonts w:ascii="Times New Roman" w:hAnsi="Times New Roman"/>
          <w:sz w:val="24"/>
        </w:rPr>
        <w:t xml:space="preserve"> geçirmeleri,</w:t>
      </w:r>
      <w:r w:rsidRPr="00644620">
        <w:rPr>
          <w:rFonts w:ascii="Times New Roman" w:hAnsi="Times New Roman"/>
          <w:sz w:val="24"/>
        </w:rPr>
        <w:t xml:space="preserve"> kan ve vücut sıvılarına maruz kalmaları durumunda vakit kaybetmeden </w:t>
      </w:r>
      <w:r w:rsidR="00317A63">
        <w:rPr>
          <w:rFonts w:ascii="Times New Roman" w:hAnsi="Times New Roman"/>
          <w:sz w:val="24"/>
        </w:rPr>
        <w:t>Enfeksiyon Birimine ile</w:t>
      </w:r>
      <w:r>
        <w:rPr>
          <w:rFonts w:ascii="Times New Roman" w:hAnsi="Times New Roman"/>
          <w:sz w:val="24"/>
        </w:rPr>
        <w:t xml:space="preserve"> </w:t>
      </w:r>
      <w:r w:rsidRPr="00644620">
        <w:rPr>
          <w:rFonts w:ascii="Times New Roman" w:hAnsi="Times New Roman"/>
          <w:sz w:val="24"/>
        </w:rPr>
        <w:t xml:space="preserve">İş Sağlığı ve Güvenliği </w:t>
      </w:r>
      <w:r>
        <w:rPr>
          <w:rFonts w:ascii="Times New Roman" w:hAnsi="Times New Roman"/>
          <w:sz w:val="24"/>
        </w:rPr>
        <w:t>B</w:t>
      </w:r>
      <w:r w:rsidRPr="00644620">
        <w:rPr>
          <w:rFonts w:ascii="Times New Roman" w:hAnsi="Times New Roman"/>
          <w:sz w:val="24"/>
        </w:rPr>
        <w:t xml:space="preserve">irimine başvurmaları ve </w:t>
      </w:r>
      <w:r>
        <w:rPr>
          <w:rFonts w:ascii="Times New Roman" w:hAnsi="Times New Roman"/>
          <w:sz w:val="24"/>
        </w:rPr>
        <w:t>S</w:t>
      </w:r>
      <w:r w:rsidRPr="00644620">
        <w:rPr>
          <w:rFonts w:ascii="Times New Roman" w:hAnsi="Times New Roman"/>
          <w:sz w:val="24"/>
        </w:rPr>
        <w:t xml:space="preserve">taj </w:t>
      </w:r>
      <w:r>
        <w:rPr>
          <w:rFonts w:ascii="Times New Roman" w:hAnsi="Times New Roman"/>
          <w:sz w:val="24"/>
        </w:rPr>
        <w:t>S</w:t>
      </w:r>
      <w:r w:rsidRPr="00644620">
        <w:rPr>
          <w:rFonts w:ascii="Times New Roman" w:hAnsi="Times New Roman"/>
          <w:sz w:val="24"/>
        </w:rPr>
        <w:t>orumlusuna bildirilmelidir.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Staj</w:t>
      </w:r>
      <w:r>
        <w:rPr>
          <w:rFonts w:ascii="Times New Roman" w:hAnsi="Times New Roman"/>
          <w:sz w:val="24"/>
        </w:rPr>
        <w:t>y</w:t>
      </w:r>
      <w:r w:rsidRPr="00644620">
        <w:rPr>
          <w:rFonts w:ascii="Times New Roman" w:hAnsi="Times New Roman"/>
          <w:sz w:val="24"/>
        </w:rPr>
        <w:t>erler kendi durumlarını, sağlıklarını te</w:t>
      </w:r>
      <w:r>
        <w:rPr>
          <w:rFonts w:ascii="Times New Roman" w:hAnsi="Times New Roman"/>
          <w:sz w:val="24"/>
        </w:rPr>
        <w:t>h</w:t>
      </w:r>
      <w:r w:rsidRPr="00644620">
        <w:rPr>
          <w:rFonts w:ascii="Times New Roman" w:hAnsi="Times New Roman"/>
          <w:sz w:val="24"/>
        </w:rPr>
        <w:t>likeye düşüren mevcut riskleri tes</w:t>
      </w:r>
      <w:r>
        <w:rPr>
          <w:rFonts w:ascii="Times New Roman" w:hAnsi="Times New Roman"/>
          <w:sz w:val="24"/>
        </w:rPr>
        <w:t>p</w:t>
      </w:r>
      <w:r w:rsidRPr="00644620">
        <w:rPr>
          <w:rFonts w:ascii="Times New Roman" w:hAnsi="Times New Roman"/>
          <w:sz w:val="24"/>
        </w:rPr>
        <w:t>it ettiklerinde staj yaptıkları birim sorumlusunu bilgilendirmekle yükümlüdürler.</w:t>
      </w:r>
    </w:p>
    <w:p w:rsidR="00B670A4" w:rsidRPr="00644620" w:rsidRDefault="00B670A4" w:rsidP="00B670A4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0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 xml:space="preserve">Kurumda staj yapılan süreçte bilgi güvenliği ve mahremiyeti açısından sosyal medya paylaşımları yapmak kesinlikle </w:t>
      </w:r>
      <w:r w:rsidRPr="004E7A33">
        <w:rPr>
          <w:rStyle w:val="Gvdemetni2Kaln"/>
          <w:rFonts w:ascii="Times New Roman" w:hAnsi="Times New Roman"/>
          <w:sz w:val="24"/>
        </w:rPr>
        <w:t>YASAKTIR</w:t>
      </w:r>
      <w:r w:rsidRPr="00644620">
        <w:rPr>
          <w:rStyle w:val="Gvdemetni2Kaln"/>
          <w:rFonts w:ascii="Times New Roman" w:hAnsi="Times New Roman"/>
          <w:sz w:val="24"/>
        </w:rPr>
        <w:t>.</w:t>
      </w:r>
    </w:p>
    <w:p w:rsidR="00D97ADA" w:rsidRPr="00F42AC6" w:rsidRDefault="00B670A4" w:rsidP="00F42AC6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33" w:line="306" w:lineRule="exact"/>
        <w:ind w:left="400" w:hanging="420"/>
        <w:jc w:val="both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>Doğabilecek her türlü hukuki ve cezai sorumluluklar ile tazminatlar Staj</w:t>
      </w:r>
      <w:r>
        <w:rPr>
          <w:rFonts w:ascii="Times New Roman" w:hAnsi="Times New Roman"/>
          <w:sz w:val="24"/>
        </w:rPr>
        <w:t>y</w:t>
      </w:r>
      <w:r w:rsidRPr="00644620">
        <w:rPr>
          <w:rFonts w:ascii="Times New Roman" w:hAnsi="Times New Roman"/>
          <w:sz w:val="24"/>
        </w:rPr>
        <w:t>erin okuduğu okula, staj yapan öğrenci ve velisine aittir.</w:t>
      </w:r>
    </w:p>
    <w:p w:rsidR="00F42AC6" w:rsidRDefault="00F42AC6" w:rsidP="00F42AC6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33" w:line="306" w:lineRule="exact"/>
        <w:ind w:left="40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Uygulama yapmadan önce Kişisel Koruyucu Ekipman kullanmak zorunludur.</w:t>
      </w:r>
    </w:p>
    <w:p w:rsidR="00F42AC6" w:rsidRDefault="00F42AC6" w:rsidP="00F42AC6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33" w:line="306" w:lineRule="exact"/>
        <w:ind w:left="40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Radyasyon alanında çalışacak ögrenci çekim esnasında kurşun önlük, troid ve gonat koruyucu gözlük takmalıdır.</w:t>
      </w:r>
    </w:p>
    <w:p w:rsidR="00F42AC6" w:rsidRDefault="00F42AC6" w:rsidP="00F42AC6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33" w:line="306" w:lineRule="exact"/>
        <w:ind w:left="40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Radyosyan Güvenliği Yönetmeliğinin 17. madde</w:t>
      </w:r>
      <w:r w:rsidR="00317A63"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z w:val="24"/>
        </w:rPr>
        <w:t xml:space="preserve"> gereği 16-18 yaşları arasındaki ögrenci ve stajyerlere sadece gözetimli alanarda eğitim izni verilebilir. Öğrenci ve stajyerlerin doz sınırları bu Yönetmeliğin 10. maddesi (c) bendinde belirtilmektedir.</w:t>
      </w:r>
    </w:p>
    <w:p w:rsidR="00F42AC6" w:rsidRPr="00952415" w:rsidRDefault="00F42AC6" w:rsidP="00F42AC6">
      <w:pPr>
        <w:widowControl w:val="0"/>
        <w:numPr>
          <w:ilvl w:val="0"/>
          <w:numId w:val="1"/>
        </w:numPr>
        <w:tabs>
          <w:tab w:val="left" w:pos="357"/>
          <w:tab w:val="left" w:pos="469"/>
        </w:tabs>
        <w:spacing w:after="33" w:line="306" w:lineRule="exact"/>
        <w:ind w:left="40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Radyosyan Güvenliği Yönetmeliğinin 10. maddesinin (c) bendine göre 18 yaşından küçükler Tüzüğün 6. maddesine göre radyasyon uygulaması işinde çalıştırılamazlar. Bu yönetmeliğin 15. maddesinin (b) bendinde (Gözetimli Alanları: Radyasyon görevlileri </w:t>
      </w:r>
      <w:r w:rsidR="00317A63">
        <w:rPr>
          <w:rFonts w:ascii="Times New Roman" w:hAnsi="Times New Roman"/>
          <w:sz w:val="24"/>
        </w:rPr>
        <w:t>için yıllık doz sınırlarının 1/</w:t>
      </w:r>
      <w:r>
        <w:rPr>
          <w:rFonts w:ascii="Times New Roman" w:hAnsi="Times New Roman"/>
          <w:sz w:val="24"/>
        </w:rPr>
        <w:t>20'sinin aşılma olasılığı olup, 3/10'unun aşılması beklenmeyen, kişisel doz ölçümünü gerektirmeyen fakat çevresel radyosyonun</w:t>
      </w:r>
      <w:r w:rsidR="002B7AB9">
        <w:rPr>
          <w:rFonts w:ascii="Times New Roman" w:hAnsi="Times New Roman"/>
          <w:sz w:val="24"/>
        </w:rPr>
        <w:t xml:space="preserve"> izlenmesini gerektiren alanlardır.) belirtilen alanlarda, eğitim amaçlı olmak koşuluyla, eğitimleri radyasyon</w:t>
      </w:r>
      <w:r>
        <w:rPr>
          <w:rFonts w:ascii="Times New Roman" w:hAnsi="Times New Roman"/>
          <w:sz w:val="24"/>
        </w:rPr>
        <w:t xml:space="preserve"> kaynaklarının kullanılmasını gerektiren 16-18 yaş arasındaki stajyerler ve ögrenciler için etkin doz, herhangi bir yılda 6</w:t>
      </w:r>
      <w:r w:rsidR="002B7AB9">
        <w:rPr>
          <w:rFonts w:ascii="Times New Roman" w:hAnsi="Times New Roman"/>
          <w:sz w:val="24"/>
        </w:rPr>
        <w:t xml:space="preserve"> mSv'</w:t>
      </w:r>
      <w:r>
        <w:rPr>
          <w:rFonts w:ascii="Times New Roman" w:hAnsi="Times New Roman"/>
          <w:sz w:val="24"/>
        </w:rPr>
        <w:t>i geçemez. Ancak el, ayak veya deri için yıllık eşdeğer doz sınırı 150</w:t>
      </w:r>
      <w:r w:rsidR="00317A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mSv, göz mercegi için 50</w:t>
      </w:r>
      <w:r w:rsidR="00317A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mSv dir.</w:t>
      </w:r>
    </w:p>
    <w:p w:rsidR="00F42AC6" w:rsidRDefault="00F42AC6" w:rsidP="00F42AC6">
      <w:pPr>
        <w:spacing w:line="515" w:lineRule="exact"/>
        <w:rPr>
          <w:rFonts w:ascii="Times New Roman" w:hAnsi="Times New Roman"/>
          <w:sz w:val="24"/>
        </w:rPr>
      </w:pPr>
      <w:r w:rsidRPr="00644620">
        <w:rPr>
          <w:rFonts w:ascii="Times New Roman" w:hAnsi="Times New Roman"/>
          <w:sz w:val="24"/>
        </w:rPr>
        <w:t xml:space="preserve">       </w:t>
      </w:r>
      <w:r w:rsidR="00227491">
        <w:rPr>
          <w:rFonts w:ascii="Times New Roman" w:hAnsi="Times New Roman"/>
          <w:sz w:val="24"/>
        </w:rPr>
        <w:tab/>
      </w:r>
      <w:r w:rsidR="00227491">
        <w:rPr>
          <w:rFonts w:ascii="Times New Roman" w:hAnsi="Times New Roman"/>
          <w:sz w:val="24"/>
        </w:rPr>
        <w:tab/>
      </w:r>
      <w:r w:rsidRPr="00644620">
        <w:rPr>
          <w:rFonts w:ascii="Times New Roman" w:hAnsi="Times New Roman"/>
          <w:sz w:val="24"/>
        </w:rPr>
        <w:t>Yukarıda belirtilen maddeleri uyacağıma kabul ve taahhüt ederim</w:t>
      </w:r>
      <w:r>
        <w:rPr>
          <w:rFonts w:ascii="Times New Roman" w:hAnsi="Times New Roman"/>
          <w:sz w:val="24"/>
        </w:rPr>
        <w:t>.</w:t>
      </w:r>
    </w:p>
    <w:tbl>
      <w:tblPr>
        <w:tblW w:w="98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4"/>
        <w:gridCol w:w="7872"/>
      </w:tblGrid>
      <w:tr w:rsidR="00F42AC6" w:rsidRPr="00141CA3" w:rsidTr="001D3029">
        <w:trPr>
          <w:trHeight w:hRule="exact" w:val="5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ADI SOYADI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tabs>
                <w:tab w:val="left" w:pos="1354"/>
                <w:tab w:val="left" w:pos="1958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C6" w:rsidRPr="00141CA3" w:rsidTr="001D3029">
        <w:trPr>
          <w:trHeight w:hRule="exact" w:val="5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T.C KİMLİK NO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C6" w:rsidRPr="00141CA3" w:rsidTr="001D3029">
        <w:trPr>
          <w:trHeight w:hRule="exact"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OKUL ADI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C6" w:rsidRPr="00141CA3" w:rsidTr="001D3029">
        <w:trPr>
          <w:trHeight w:hRule="exact" w:val="51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ÖĞRENCİ NO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C6" w:rsidRPr="00141CA3" w:rsidTr="001D3029">
        <w:trPr>
          <w:trHeight w:hRule="exact" w:val="51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BÖLÜM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rPr>
                <w:rFonts w:ascii="Times New Roman" w:hAnsi="Times New Roman" w:cs="Times New Roman"/>
              </w:rPr>
            </w:pPr>
          </w:p>
        </w:tc>
      </w:tr>
      <w:tr w:rsidR="00F42AC6" w:rsidRPr="00141CA3" w:rsidTr="001D3029">
        <w:trPr>
          <w:trHeight w:hRule="exact" w:val="5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SINIF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C6" w:rsidRPr="00141CA3" w:rsidTr="001D3029">
        <w:trPr>
          <w:trHeight w:hRule="exact" w:val="5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TLF.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C6" w:rsidRPr="00141CA3" w:rsidTr="001D3029">
        <w:trPr>
          <w:trHeight w:hRule="exact" w:val="5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E-POSTA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C6" w:rsidRPr="00141CA3" w:rsidTr="001D3029">
        <w:trPr>
          <w:trHeight w:hRule="exact" w:val="122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AC6" w:rsidRPr="001D3029" w:rsidRDefault="00F42AC6" w:rsidP="001D3029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3029">
              <w:rPr>
                <w:rStyle w:val="Gvdemetni20"/>
                <w:rFonts w:ascii="Times New Roman" w:hAnsi="Times New Roman" w:cs="Times New Roman"/>
                <w:sz w:val="24"/>
                <w:szCs w:val="24"/>
                <w:u w:val="none"/>
              </w:rPr>
              <w:t xml:space="preserve">  İMZA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AC6" w:rsidRPr="00141CA3" w:rsidRDefault="00F42AC6" w:rsidP="001D3029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007" w:rsidRDefault="00C42007"/>
    <w:p w:rsidR="00274C54" w:rsidRDefault="00274C54"/>
    <w:p w:rsidR="00E56A4E" w:rsidRDefault="00E56A4E"/>
    <w:p w:rsidR="00E56A4E" w:rsidRDefault="00E56A4E"/>
    <w:sectPr w:rsidR="00E56A4E" w:rsidSect="00742698">
      <w:headerReference w:type="default" r:id="rId7"/>
      <w:pgSz w:w="11906" w:h="16838"/>
      <w:pgMar w:top="1092" w:right="849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26" w:rsidRDefault="00E87026" w:rsidP="00B670A4">
      <w:pPr>
        <w:spacing w:after="0" w:line="240" w:lineRule="auto"/>
      </w:pPr>
      <w:r>
        <w:separator/>
      </w:r>
    </w:p>
  </w:endnote>
  <w:endnote w:type="continuationSeparator" w:id="1">
    <w:p w:rsidR="00E87026" w:rsidRDefault="00E87026" w:rsidP="00B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26" w:rsidRDefault="00E87026" w:rsidP="00B670A4">
      <w:pPr>
        <w:spacing w:after="0" w:line="240" w:lineRule="auto"/>
      </w:pPr>
      <w:r>
        <w:separator/>
      </w:r>
    </w:p>
  </w:footnote>
  <w:footnote w:type="continuationSeparator" w:id="1">
    <w:p w:rsidR="00E87026" w:rsidRDefault="00E87026" w:rsidP="00B6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36"/>
      <w:gridCol w:w="6520"/>
      <w:gridCol w:w="1416"/>
      <w:gridCol w:w="1277"/>
    </w:tblGrid>
    <w:tr w:rsidR="00E61AF0" w:rsidRPr="00A2343C" w:rsidTr="00A129B7">
      <w:trPr>
        <w:trHeight w:val="166"/>
      </w:trPr>
      <w:tc>
        <w:tcPr>
          <w:tcW w:w="549" w:type="pct"/>
          <w:vMerge w:val="restart"/>
          <w:vAlign w:val="center"/>
        </w:tcPr>
        <w:p w:rsidR="00E61AF0" w:rsidRPr="00A2343C" w:rsidRDefault="00E61AF0" w:rsidP="00A129B7">
          <w:pPr>
            <w:spacing w:after="0" w:line="240" w:lineRule="auto"/>
            <w:ind w:left="-108"/>
            <w:jc w:val="center"/>
            <w:rPr>
              <w:rFonts w:ascii="Calibri" w:eastAsia="Times New Roman" w:hAnsi="Calibri" w:cs="Times New Roman"/>
              <w:sz w:val="18"/>
              <w:szCs w:val="18"/>
            </w:rPr>
          </w:pPr>
          <w:r>
            <w:rPr>
              <w:rFonts w:ascii="Calibri" w:eastAsia="Times New Roman" w:hAnsi="Calibri" w:cs="Times New Roman"/>
              <w:noProof/>
              <w:sz w:val="18"/>
              <w:szCs w:val="18"/>
            </w:rPr>
            <w:drawing>
              <wp:inline distT="0" distB="0" distL="0" distR="0">
                <wp:extent cx="645221" cy="638175"/>
                <wp:effectExtent l="19050" t="0" r="2479" b="0"/>
                <wp:docPr id="7" name="Resim 1" descr="C:\Users\175395~1\AppData\Local\Temp\Rar$DIa0.151\ORTALI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175395~1\AppData\Local\Temp\Rar$DIa0.151\ORTALI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96" cy="63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pct"/>
          <w:vMerge w:val="restart"/>
          <w:vAlign w:val="center"/>
        </w:tcPr>
        <w:p w:rsidR="00E61AF0" w:rsidRPr="00A2343C" w:rsidRDefault="00E61AF0" w:rsidP="006D70A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</w:rPr>
          </w:pPr>
          <w:r w:rsidRPr="00A2343C">
            <w:rPr>
              <w:rFonts w:ascii="Calibri" w:eastAsia="Times New Roman" w:hAnsi="Calibri" w:cs="Times New Roman"/>
              <w:b/>
            </w:rPr>
            <w:t>BOR DEVLET HASTANESİ</w:t>
          </w:r>
        </w:p>
        <w:p w:rsidR="00E61AF0" w:rsidRPr="00E61AF0" w:rsidRDefault="00E61AF0" w:rsidP="00E61AF0">
          <w:pPr>
            <w:pStyle w:val="Balk20"/>
            <w:keepNext/>
            <w:keepLines/>
            <w:shd w:val="clear" w:color="auto" w:fill="auto"/>
            <w:spacing w:before="0"/>
            <w:ind w:firstLine="0"/>
            <w:jc w:val="center"/>
            <w:rPr>
              <w:rFonts w:asciiTheme="minorHAnsi" w:hAnsiTheme="minorHAnsi"/>
            </w:rPr>
          </w:pPr>
          <w:r w:rsidRPr="00E61AF0">
            <w:rPr>
              <w:rFonts w:asciiTheme="minorHAnsi" w:hAnsiTheme="minorHAnsi"/>
            </w:rPr>
            <w:t xml:space="preserve">STAJ/ DERS UYGULAMALARI / MESLEKİ BECERİ EĞİTİMİ ESNASINDA </w:t>
          </w:r>
        </w:p>
        <w:p w:rsidR="00E61AF0" w:rsidRPr="00E61AF0" w:rsidRDefault="00E61AF0" w:rsidP="00E61AF0">
          <w:pPr>
            <w:pStyle w:val="Balk20"/>
            <w:keepNext/>
            <w:keepLines/>
            <w:shd w:val="clear" w:color="auto" w:fill="auto"/>
            <w:spacing w:before="0"/>
            <w:ind w:firstLine="0"/>
            <w:jc w:val="center"/>
            <w:rPr>
              <w:rFonts w:asciiTheme="minorHAnsi" w:hAnsiTheme="minorHAnsi"/>
            </w:rPr>
          </w:pPr>
          <w:r w:rsidRPr="00E61AF0">
            <w:rPr>
              <w:rFonts w:asciiTheme="minorHAnsi" w:hAnsiTheme="minorHAnsi"/>
            </w:rPr>
            <w:t xml:space="preserve">UYULMASI GEREKEN KURALLAR İLE İLGİLİ </w:t>
          </w:r>
          <w:bookmarkStart w:id="0" w:name="bookmark1"/>
          <w:r w:rsidRPr="00E61AF0">
            <w:rPr>
              <w:rFonts w:asciiTheme="minorHAnsi" w:hAnsiTheme="minorHAnsi"/>
            </w:rPr>
            <w:t>TAAHHÜTNAME</w:t>
          </w:r>
          <w:bookmarkEnd w:id="0"/>
        </w:p>
        <w:p w:rsidR="00E61AF0" w:rsidRPr="003D7D8D" w:rsidRDefault="00E61AF0" w:rsidP="006D70A0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</w:rPr>
          </w:pPr>
        </w:p>
      </w:tc>
      <w:tc>
        <w:tcPr>
          <w:tcW w:w="684" w:type="pct"/>
          <w:vAlign w:val="center"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  <w:r w:rsidRPr="00A2343C">
            <w:rPr>
              <w:rFonts w:ascii="Calibri" w:eastAsia="Times New Roman" w:hAnsi="Calibri" w:cs="Times New Roman"/>
              <w:sz w:val="18"/>
              <w:szCs w:val="18"/>
            </w:rPr>
            <w:t>Doküman Kodu</w:t>
          </w:r>
        </w:p>
      </w:tc>
      <w:tc>
        <w:tcPr>
          <w:tcW w:w="617" w:type="pct"/>
          <w:vAlign w:val="center"/>
        </w:tcPr>
        <w:p w:rsidR="00E61AF0" w:rsidRPr="00A2343C" w:rsidRDefault="00A505FB" w:rsidP="006D70A0">
          <w:pPr>
            <w:spacing w:after="0" w:line="240" w:lineRule="auto"/>
            <w:rPr>
              <w:rFonts w:ascii="Calibri" w:eastAsia="Times New Roman" w:hAnsi="Calibri" w:cs="Times New Roman"/>
              <w:b/>
              <w:sz w:val="18"/>
              <w:szCs w:val="18"/>
            </w:rPr>
          </w:pPr>
          <w:r>
            <w:rPr>
              <w:rFonts w:ascii="Calibri" w:eastAsia="Times New Roman" w:hAnsi="Calibri" w:cs="Times New Roman"/>
              <w:b/>
              <w:sz w:val="18"/>
              <w:szCs w:val="18"/>
            </w:rPr>
            <w:t>KU.YD.16</w:t>
          </w:r>
        </w:p>
      </w:tc>
    </w:tr>
    <w:tr w:rsidR="00E61AF0" w:rsidRPr="00A2343C" w:rsidTr="00A129B7">
      <w:trPr>
        <w:trHeight w:val="145"/>
      </w:trPr>
      <w:tc>
        <w:tcPr>
          <w:tcW w:w="549" w:type="pct"/>
          <w:vMerge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</w:p>
      </w:tc>
      <w:tc>
        <w:tcPr>
          <w:tcW w:w="3150" w:type="pct"/>
          <w:vMerge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</w:p>
      </w:tc>
      <w:tc>
        <w:tcPr>
          <w:tcW w:w="684" w:type="pct"/>
          <w:vAlign w:val="center"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  <w:r w:rsidRPr="00A2343C">
            <w:rPr>
              <w:rFonts w:ascii="Calibri" w:eastAsia="Times New Roman" w:hAnsi="Calibri" w:cs="Times New Roman"/>
              <w:sz w:val="18"/>
              <w:szCs w:val="18"/>
            </w:rPr>
            <w:t>Sayfa Sayısı</w:t>
          </w:r>
        </w:p>
      </w:tc>
      <w:tc>
        <w:tcPr>
          <w:tcW w:w="617" w:type="pct"/>
          <w:vAlign w:val="center"/>
        </w:tcPr>
        <w:p w:rsidR="00E61AF0" w:rsidRPr="00A2343C" w:rsidRDefault="0006770C" w:rsidP="006D70A0">
          <w:pPr>
            <w:spacing w:after="0" w:line="240" w:lineRule="auto"/>
            <w:rPr>
              <w:rFonts w:ascii="Calibri" w:eastAsia="Times New Roman" w:hAnsi="Calibri" w:cs="Times New Roman"/>
              <w:b/>
              <w:sz w:val="18"/>
              <w:szCs w:val="18"/>
            </w:rPr>
          </w:pPr>
          <w:r w:rsidRPr="00A2343C">
            <w:rPr>
              <w:rFonts w:ascii="Calibri" w:eastAsia="Times New Roman" w:hAnsi="Calibri" w:cs="Times New Roman"/>
              <w:b/>
              <w:sz w:val="18"/>
              <w:szCs w:val="18"/>
            </w:rPr>
            <w:fldChar w:fldCharType="begin"/>
          </w:r>
          <w:r w:rsidR="00E61AF0" w:rsidRPr="00A2343C">
            <w:rPr>
              <w:rFonts w:ascii="Calibri" w:eastAsia="Times New Roman" w:hAnsi="Calibri" w:cs="Times New Roman"/>
              <w:b/>
              <w:sz w:val="18"/>
              <w:szCs w:val="18"/>
            </w:rPr>
            <w:instrText xml:space="preserve"> PAGE   \* MERGEFORMAT </w:instrText>
          </w:r>
          <w:r w:rsidRPr="00A2343C">
            <w:rPr>
              <w:rFonts w:ascii="Calibri" w:eastAsia="Times New Roman" w:hAnsi="Calibri" w:cs="Times New Roman"/>
              <w:b/>
              <w:sz w:val="18"/>
              <w:szCs w:val="18"/>
            </w:rPr>
            <w:fldChar w:fldCharType="separate"/>
          </w:r>
          <w:r w:rsidR="00E56A4E">
            <w:rPr>
              <w:rFonts w:ascii="Calibri" w:eastAsia="Times New Roman" w:hAnsi="Calibri" w:cs="Times New Roman"/>
              <w:b/>
              <w:noProof/>
              <w:sz w:val="18"/>
              <w:szCs w:val="18"/>
            </w:rPr>
            <w:t>2</w:t>
          </w:r>
          <w:r w:rsidRPr="00A2343C">
            <w:rPr>
              <w:rFonts w:ascii="Calibri" w:eastAsia="Times New Roman" w:hAnsi="Calibri" w:cs="Times New Roman"/>
              <w:b/>
              <w:sz w:val="18"/>
              <w:szCs w:val="18"/>
            </w:rPr>
            <w:fldChar w:fldCharType="end"/>
          </w:r>
          <w:r w:rsidR="001200AB">
            <w:rPr>
              <w:rFonts w:ascii="Calibri" w:eastAsia="Times New Roman" w:hAnsi="Calibri" w:cs="Times New Roman"/>
              <w:b/>
              <w:sz w:val="18"/>
              <w:szCs w:val="18"/>
            </w:rPr>
            <w:t>/1</w:t>
          </w:r>
        </w:p>
      </w:tc>
    </w:tr>
    <w:tr w:rsidR="00E61AF0" w:rsidRPr="00A2343C" w:rsidTr="00A129B7">
      <w:trPr>
        <w:trHeight w:val="145"/>
      </w:trPr>
      <w:tc>
        <w:tcPr>
          <w:tcW w:w="549" w:type="pct"/>
          <w:vMerge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</w:p>
      </w:tc>
      <w:tc>
        <w:tcPr>
          <w:tcW w:w="3150" w:type="pct"/>
          <w:vMerge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</w:p>
      </w:tc>
      <w:tc>
        <w:tcPr>
          <w:tcW w:w="684" w:type="pct"/>
          <w:vAlign w:val="center"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  <w:r w:rsidRPr="00A2343C">
            <w:rPr>
              <w:rFonts w:ascii="Calibri" w:eastAsia="Times New Roman" w:hAnsi="Calibri" w:cs="Times New Roman"/>
              <w:sz w:val="18"/>
              <w:szCs w:val="18"/>
            </w:rPr>
            <w:t>Yayın Tarihi</w:t>
          </w:r>
        </w:p>
      </w:tc>
      <w:tc>
        <w:tcPr>
          <w:tcW w:w="617" w:type="pct"/>
          <w:vAlign w:val="center"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b/>
              <w:sz w:val="18"/>
              <w:szCs w:val="18"/>
            </w:rPr>
          </w:pPr>
          <w:r w:rsidRPr="00A2343C">
            <w:rPr>
              <w:rFonts w:ascii="Calibri" w:eastAsia="Times New Roman" w:hAnsi="Calibri" w:cs="Times New Roman"/>
              <w:b/>
              <w:sz w:val="18"/>
              <w:szCs w:val="18"/>
            </w:rPr>
            <w:t>1</w:t>
          </w:r>
          <w:r w:rsidR="00493640">
            <w:rPr>
              <w:rFonts w:ascii="Calibri" w:eastAsia="Times New Roman" w:hAnsi="Calibri" w:cs="Times New Roman"/>
              <w:b/>
              <w:sz w:val="18"/>
              <w:szCs w:val="18"/>
            </w:rPr>
            <w:t>5</w:t>
          </w:r>
          <w:r>
            <w:rPr>
              <w:rFonts w:ascii="Calibri" w:eastAsia="Times New Roman" w:hAnsi="Calibri" w:cs="Times New Roman"/>
              <w:b/>
              <w:sz w:val="18"/>
              <w:szCs w:val="18"/>
            </w:rPr>
            <w:t>/05/2023</w:t>
          </w:r>
        </w:p>
      </w:tc>
    </w:tr>
    <w:tr w:rsidR="00E61AF0" w:rsidRPr="00A2343C" w:rsidTr="00A129B7">
      <w:trPr>
        <w:trHeight w:val="71"/>
      </w:trPr>
      <w:tc>
        <w:tcPr>
          <w:tcW w:w="549" w:type="pct"/>
          <w:vMerge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</w:p>
      </w:tc>
      <w:tc>
        <w:tcPr>
          <w:tcW w:w="3150" w:type="pct"/>
          <w:vMerge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</w:p>
      </w:tc>
      <w:tc>
        <w:tcPr>
          <w:tcW w:w="684" w:type="pct"/>
          <w:vAlign w:val="center"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  <w:r w:rsidRPr="00A2343C">
            <w:rPr>
              <w:rFonts w:ascii="Calibri" w:eastAsia="Times New Roman" w:hAnsi="Calibri" w:cs="Times New Roman"/>
              <w:sz w:val="18"/>
              <w:szCs w:val="18"/>
            </w:rPr>
            <w:t>Reviz.Tarihi</w:t>
          </w:r>
        </w:p>
      </w:tc>
      <w:tc>
        <w:tcPr>
          <w:tcW w:w="617" w:type="pct"/>
          <w:vAlign w:val="center"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b/>
              <w:sz w:val="18"/>
              <w:szCs w:val="18"/>
            </w:rPr>
          </w:pPr>
          <w:r>
            <w:rPr>
              <w:rFonts w:ascii="Calibri" w:eastAsia="Times New Roman" w:hAnsi="Calibri" w:cs="Times New Roman"/>
              <w:b/>
              <w:sz w:val="18"/>
              <w:szCs w:val="18"/>
            </w:rPr>
            <w:t>-</w:t>
          </w:r>
        </w:p>
      </w:tc>
    </w:tr>
    <w:tr w:rsidR="00E61AF0" w:rsidRPr="00A2343C" w:rsidTr="00A129B7">
      <w:trPr>
        <w:trHeight w:val="71"/>
      </w:trPr>
      <w:tc>
        <w:tcPr>
          <w:tcW w:w="549" w:type="pct"/>
          <w:vMerge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</w:p>
      </w:tc>
      <w:tc>
        <w:tcPr>
          <w:tcW w:w="3150" w:type="pct"/>
          <w:vMerge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</w:p>
      </w:tc>
      <w:tc>
        <w:tcPr>
          <w:tcW w:w="684" w:type="pct"/>
          <w:vAlign w:val="center"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  <w:r w:rsidRPr="00A2343C">
            <w:rPr>
              <w:rFonts w:ascii="Calibri" w:eastAsia="Times New Roman" w:hAnsi="Calibri" w:cs="Times New Roman"/>
              <w:sz w:val="18"/>
              <w:szCs w:val="18"/>
            </w:rPr>
            <w:t>Revizyon No</w:t>
          </w:r>
        </w:p>
      </w:tc>
      <w:tc>
        <w:tcPr>
          <w:tcW w:w="617" w:type="pct"/>
          <w:vAlign w:val="center"/>
        </w:tcPr>
        <w:p w:rsidR="00E61AF0" w:rsidRPr="00A2343C" w:rsidRDefault="00E61AF0" w:rsidP="006D70A0">
          <w:pPr>
            <w:spacing w:after="0" w:line="240" w:lineRule="auto"/>
            <w:rPr>
              <w:rFonts w:ascii="Calibri" w:eastAsia="Times New Roman" w:hAnsi="Calibri" w:cs="Times New Roman"/>
              <w:b/>
              <w:sz w:val="18"/>
              <w:szCs w:val="18"/>
            </w:rPr>
          </w:pPr>
          <w:r>
            <w:rPr>
              <w:rFonts w:ascii="Calibri" w:eastAsia="Times New Roman" w:hAnsi="Calibri" w:cs="Times New Roman"/>
              <w:b/>
              <w:sz w:val="18"/>
              <w:szCs w:val="18"/>
            </w:rPr>
            <w:t>-</w:t>
          </w:r>
        </w:p>
      </w:tc>
    </w:tr>
  </w:tbl>
  <w:p w:rsidR="00B670A4" w:rsidRDefault="00B670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2B2"/>
    <w:multiLevelType w:val="multilevel"/>
    <w:tmpl w:val="FD22A1C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0A4"/>
    <w:rsid w:val="000643F7"/>
    <w:rsid w:val="0006770C"/>
    <w:rsid w:val="000E6C52"/>
    <w:rsid w:val="0011467D"/>
    <w:rsid w:val="001200AB"/>
    <w:rsid w:val="00135557"/>
    <w:rsid w:val="001D3029"/>
    <w:rsid w:val="001D3AE9"/>
    <w:rsid w:val="001E7647"/>
    <w:rsid w:val="00227491"/>
    <w:rsid w:val="00274C54"/>
    <w:rsid w:val="00276CF9"/>
    <w:rsid w:val="002B7AB9"/>
    <w:rsid w:val="00317A63"/>
    <w:rsid w:val="003C53C2"/>
    <w:rsid w:val="003E0B9A"/>
    <w:rsid w:val="00413EC6"/>
    <w:rsid w:val="00493640"/>
    <w:rsid w:val="00622F3E"/>
    <w:rsid w:val="00742698"/>
    <w:rsid w:val="00806228"/>
    <w:rsid w:val="00922986"/>
    <w:rsid w:val="00A00A5E"/>
    <w:rsid w:val="00A129B7"/>
    <w:rsid w:val="00A505FB"/>
    <w:rsid w:val="00B251AC"/>
    <w:rsid w:val="00B670A4"/>
    <w:rsid w:val="00BC3447"/>
    <w:rsid w:val="00C42007"/>
    <w:rsid w:val="00C45A1F"/>
    <w:rsid w:val="00C64B84"/>
    <w:rsid w:val="00C910C3"/>
    <w:rsid w:val="00D97ADA"/>
    <w:rsid w:val="00E56A4E"/>
    <w:rsid w:val="00E61AF0"/>
    <w:rsid w:val="00E83C35"/>
    <w:rsid w:val="00E87026"/>
    <w:rsid w:val="00F10EA1"/>
    <w:rsid w:val="00F42AC6"/>
    <w:rsid w:val="00F46DBA"/>
    <w:rsid w:val="00F5606B"/>
    <w:rsid w:val="00FC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6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70A4"/>
  </w:style>
  <w:style w:type="paragraph" w:styleId="Altbilgi">
    <w:name w:val="footer"/>
    <w:basedOn w:val="Normal"/>
    <w:link w:val="AltbilgiChar"/>
    <w:uiPriority w:val="99"/>
    <w:semiHidden/>
    <w:unhideWhenUsed/>
    <w:rsid w:val="00B6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70A4"/>
  </w:style>
  <w:style w:type="paragraph" w:styleId="BalonMetni">
    <w:name w:val="Balloon Text"/>
    <w:basedOn w:val="Normal"/>
    <w:link w:val="BalonMetniChar"/>
    <w:uiPriority w:val="99"/>
    <w:semiHidden/>
    <w:unhideWhenUsed/>
    <w:rsid w:val="00B6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0A4"/>
    <w:rPr>
      <w:rFonts w:ascii="Tahoma" w:hAnsi="Tahoma" w:cs="Tahoma"/>
      <w:sz w:val="16"/>
      <w:szCs w:val="16"/>
    </w:rPr>
  </w:style>
  <w:style w:type="character" w:customStyle="1" w:styleId="Balk2">
    <w:name w:val="Başlık #2_"/>
    <w:basedOn w:val="VarsaylanParagrafYazTipi"/>
    <w:link w:val="Balk20"/>
    <w:rsid w:val="00B670A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Balk20">
    <w:name w:val="Başlık #2"/>
    <w:basedOn w:val="Normal"/>
    <w:link w:val="Balk2"/>
    <w:rsid w:val="00B670A4"/>
    <w:pPr>
      <w:widowControl w:val="0"/>
      <w:shd w:val="clear" w:color="auto" w:fill="FFFFFF"/>
      <w:spacing w:before="1340" w:after="0" w:line="268" w:lineRule="exact"/>
      <w:ind w:hanging="420"/>
      <w:outlineLvl w:val="1"/>
    </w:pPr>
    <w:rPr>
      <w:rFonts w:ascii="Calibri" w:eastAsia="Calibri" w:hAnsi="Calibri" w:cs="Calibri"/>
      <w:b/>
      <w:bCs/>
    </w:rPr>
  </w:style>
  <w:style w:type="character" w:customStyle="1" w:styleId="Gvdemetni2">
    <w:name w:val="Gövde metni (2)_"/>
    <w:basedOn w:val="VarsaylanParagrafYazTipi"/>
    <w:rsid w:val="00B670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sid w:val="00B670A4"/>
    <w:rPr>
      <w:b/>
      <w:bCs/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Gvdemetni20">
    <w:name w:val="Gövde metni (2)"/>
    <w:basedOn w:val="Gvdemetni2"/>
    <w:rsid w:val="00B670A4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styleId="AralkYok">
    <w:name w:val="No Spacing"/>
    <w:uiPriority w:val="1"/>
    <w:qFormat/>
    <w:rsid w:val="00C420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34625288772</dc:creator>
  <cp:keywords/>
  <dc:description/>
  <cp:lastModifiedBy>BDH-ARASTIRMACI</cp:lastModifiedBy>
  <cp:revision>21</cp:revision>
  <dcterms:created xsi:type="dcterms:W3CDTF">2023-05-11T10:19:00Z</dcterms:created>
  <dcterms:modified xsi:type="dcterms:W3CDTF">2023-05-16T11:26:00Z</dcterms:modified>
</cp:coreProperties>
</file>